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1A1A1A"/>
          <w:sz w:val="52"/>
          <w:szCs w:val="52"/>
        </w:rPr>
        <w:t xml:space="preserve">SERGIY SOLONENKO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1F4E79"/>
          <w:sz w:val="23"/>
          <w:szCs w:val="23"/>
        </w:rPr>
        <w:t xml:space="preserve">Demand Generation  |  B2B SaaS &amp; Tech  •  ABM  •  Pipeline-Driven Performance Marketing</w:t>
      </w:r>
    </w:p>
    <w:p>
      <w:pPr>
        <w:spacing w:after="160"/>
      </w:pPr>
      <w:r>
        <w:rPr>
          <w:color w:val="595959"/>
          <w:sz w:val="19"/>
          <w:szCs w:val="19"/>
        </w:rPr>
        <w:t xml:space="preserve">Canada - Remote  •  +1 416 802 9828  •  sergiy.solonenko@me.com  •  </w:t>
      </w:r>
      <w:hyperlink w:history="1" r:id="rIdnuhd9g_osxnml4hluhn2u">
        <w:r>
          <w:rPr>
            <w:color w:val="1F4E79"/>
            <w:sz w:val="19"/>
            <w:szCs w:val="19"/>
            <w:u w:val="single"/>
          </w:rPr>
          <w:t xml:space="preserve">linkedin.com/in/serge-solonenko</w:t>
        </w:r>
      </w:hyperlink>
    </w:p>
    <w:p>
      <w:pPr>
        <w:pBdr>
          <w:bottom w:val="single" w:color="1F4E79" w:sz="6" w:space="2"/>
        </w:pBdr>
        <w:spacing w:after="80" w:before="200"/>
      </w:pPr>
      <w:r>
        <w:rPr>
          <w:rFonts w:ascii="Calibri" w:cs="Calibri" w:eastAsia="Calibri" w:hAnsi="Calibri"/>
          <w:b/>
          <w:bCs/>
          <w:color w:val="1F4E79"/>
          <w:sz w:val="22"/>
          <w:szCs w:val="22"/>
        </w:rPr>
        <w:t xml:space="preserve">SUMMARY</w:t>
      </w:r>
    </w:p>
    <w:p>
      <w:pPr>
        <w:spacing w:after="60"/>
      </w:pPr>
      <w:r>
        <w:rPr>
          <w:sz w:val="20"/>
          <w:szCs w:val="20"/>
        </w:rPr>
        <w:t xml:space="preserve">Demand generation and ABM leader with 12+ years building pipeline for B2B SaaS and enterprise tech. Launched a full-funnel ABM program (6sense, RollWorks, LinkedIn, GMP) driving $400–500K/month in attributed revenue as team lead at Brainlabs; lifted MQL-to-SQL conversion from 20% to 29% and drove 2.5X MQL volume at Edelman Financial; grew MQLs 10% QoQ at Satmetrix (NICE). AI-native GTM practitioner: Clay-powered enrichment and workflow automation, SEO/GEO/AEO optimization with AI brand-mention tracking, and Claude Code-built dashboards that automate reporting across marketing channels — consistently tying media spend to pipeline and revenue rather than lead volume.</w:t>
      </w:r>
    </w:p>
    <w:p>
      <w:pPr>
        <w:pBdr>
          <w:bottom w:val="single" w:color="1F4E79" w:sz="6" w:space="2"/>
        </w:pBdr>
        <w:spacing w:after="80" w:before="200"/>
      </w:pPr>
      <w:r>
        <w:rPr>
          <w:rFonts w:ascii="Calibri" w:cs="Calibri" w:eastAsia="Calibri" w:hAnsi="Calibri"/>
          <w:b/>
          <w:bCs/>
          <w:color w:val="1F4E79"/>
          <w:sz w:val="22"/>
          <w:szCs w:val="22"/>
        </w:rPr>
        <w:t xml:space="preserve">EXPERIENCE</w:t>
      </w:r>
    </w:p>
    <w:p>
      <w:pPr>
        <w:tabs>
          <w:tab w:val="right" w:pos="9026"/>
        </w:tabs>
        <w:spacing w:after="20" w:before="140"/>
      </w:pPr>
      <w:r>
        <w:rPr>
          <w:b/>
          <w:bCs/>
          <w:sz w:val="21"/>
          <w:szCs w:val="21"/>
        </w:rPr>
        <w:t xml:space="preserve">Platforms Sales Engineer</w:t>
      </w:r>
      <w:r>
        <w:rPr>
          <w:color w:val="595959"/>
          <w:sz w:val="19"/>
          <w:szCs w:val="19"/>
        </w:rPr>
        <w:t xml:space="preserve">	02/2025 – Present</w:t>
      </w:r>
    </w:p>
    <w:p>
      <w:pPr>
        <w:spacing w:after="40"/>
      </w:pPr>
      <w:r>
        <w:rPr>
          <w:i/>
          <w:iCs/>
          <w:color w:val="595959"/>
          <w:sz w:val="19"/>
          <w:szCs w:val="19"/>
        </w:rPr>
        <w:t xml:space="preserve">Google — Canada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b w:val="false"/>
          <w:bCs w:val="false"/>
          <w:sz w:val="20"/>
          <w:szCs w:val="20"/>
        </w:rPr>
        <w:t xml:space="preserve">Lead discovery sessions with C-level stakeholders at B2B and enterprise advertisers, mapping funnel and measurement challenges to Google Marketing Platform solutions (SA360, DV360, CM360, GA4).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b w:val="false"/>
          <w:bCs w:val="false"/>
          <w:sz w:val="20"/>
          <w:szCs w:val="20"/>
        </w:rPr>
        <w:t xml:space="preserve">Design full-funnel measurement architectures connecting media activity to pipeline and revenue outcomes: data integration, audience segmentation, and conversion tracking.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b w:val="false"/>
          <w:bCs w:val="false"/>
          <w:sz w:val="20"/>
          <w:szCs w:val="20"/>
        </w:rPr>
        <w:t xml:space="preserve">Translate complex advertiser use cases into actionable media strategies in collaboration with gTech, product specialists, and engineering teams.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b w:val="false"/>
          <w:bCs w:val="false"/>
          <w:sz w:val="20"/>
          <w:szCs w:val="20"/>
        </w:rPr>
        <w:t xml:space="preserve">Enable internal sales teams with GMP maturity frameworks and technical narratives to accelerate multi-product adoption.</w:t>
      </w:r>
    </w:p>
    <w:p>
      <w:pPr>
        <w:tabs>
          <w:tab w:val="right" w:pos="9026"/>
        </w:tabs>
        <w:spacing w:after="20" w:before="140"/>
      </w:pPr>
      <w:r>
        <w:rPr>
          <w:b/>
          <w:bCs/>
          <w:sz w:val="21"/>
          <w:szCs w:val="21"/>
        </w:rPr>
        <w:t xml:space="preserve">SA360 - ABM Demand Generation Team Lead</w:t>
      </w:r>
      <w:r>
        <w:rPr>
          <w:color w:val="595959"/>
          <w:sz w:val="19"/>
          <w:szCs w:val="19"/>
        </w:rPr>
        <w:t xml:space="preserve">	12/2022 – 02/2025</w:t>
      </w:r>
    </w:p>
    <w:p>
      <w:pPr>
        <w:spacing w:after="40"/>
      </w:pPr>
      <w:r>
        <w:rPr>
          <w:i/>
          <w:iCs/>
          <w:color w:val="595959"/>
          <w:sz w:val="19"/>
          <w:szCs w:val="19"/>
        </w:rPr>
        <w:t xml:space="preserve">Brainlabs — Remote, Canada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b/>
          <w:bCs/>
          <w:sz w:val="20"/>
          <w:szCs w:val="20"/>
        </w:rPr>
        <w:t xml:space="preserve">ABM program launch (enterprise B2B):</w:t>
      </w:r>
      <w:r>
        <w:rPr>
          <w:b w:val="false"/>
          <w:bCs w:val="false"/>
          <w:sz w:val="20"/>
          <w:szCs w:val="20"/>
        </w:rPr>
        <w:t xml:space="preserve"> led consultative onboarding onto 6sense, then designed and launched a full-funnel ABM program driving $400–500K/month in program-attributed revenue.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b w:val="false"/>
          <w:bCs w:val="false"/>
          <w:sz w:val="20"/>
          <w:szCs w:val="20"/>
        </w:rPr>
        <w:t xml:space="preserve">Activated deep account segmentation and full-funnel retargeting across LinkedIn (thought leader ads, RollWorks-matched company audiences), Meta, and the GMP stack (SA360 search, display, PMax, YouTube).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b w:val="false"/>
          <w:bCs w:val="false"/>
          <w:sz w:val="20"/>
          <w:szCs w:val="20"/>
        </w:rPr>
        <w:t xml:space="preserve">Designed 1:1 go-to-market motions for strategic accounts with the highest revenue potential — deep account research, personalized content, dedicated programs, executive briefings, and high-touch experiences — in direct partnership with sales.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b w:val="false"/>
          <w:bCs w:val="false"/>
          <w:sz w:val="20"/>
          <w:szCs w:val="20"/>
        </w:rPr>
        <w:t xml:space="preserve">Built niche academic ABM targeting via ResearchGate, reaching professors and specific departments within target universities alongside standard B2B channels.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b w:val="false"/>
          <w:bCs w:val="false"/>
          <w:sz w:val="20"/>
          <w:szCs w:val="20"/>
        </w:rPr>
        <w:t xml:space="preserve">Integrated HubSpot with 6sense to unify MQL and marketing-qualified-account (MQA) reporting; led the sales team's shift from lead volume to MQAs and buying-committee engagement.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b/>
          <w:bCs/>
          <w:sz w:val="20"/>
          <w:szCs w:val="20"/>
        </w:rPr>
        <w:t xml:space="preserve">Edelman Financial:</w:t>
      </w:r>
      <w:r>
        <w:rPr>
          <w:b w:val="false"/>
          <w:bCs w:val="false"/>
          <w:sz w:val="20"/>
          <w:szCs w:val="20"/>
        </w:rPr>
        <w:t xml:space="preserve"> lifted MQL-to-SQL conversion (meetings booked to attended) from 20% to 29% through LTV bidding, tROAS adoption, and full campaign restructure; layered in Performance Max to drive 2.5X more MQLs.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b/>
          <w:bCs/>
          <w:sz w:val="20"/>
          <w:szCs w:val="20"/>
        </w:rPr>
        <w:t xml:space="preserve">SurveyMonkey (B2B SaaS):</w:t>
      </w:r>
      <w:r>
        <w:rPr>
          <w:b w:val="false"/>
          <w:bCs w:val="false"/>
          <w:sz w:val="20"/>
          <w:szCs w:val="20"/>
        </w:rPr>
        <w:t xml:space="preserve"> consolidated 14 ad accounts into 1 across Google and Bing to enable LTV bidding with dynamic value multipliers, aligning paid search to customer lifetime value rather than lead volume.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b w:val="false"/>
          <w:bCs w:val="false"/>
          <w:sz w:val="20"/>
          <w:szCs w:val="20"/>
        </w:rPr>
        <w:t xml:space="preserve">Enterprise search consulting: 3% lift in card applications for </w:t>
      </w:r>
      <w:r>
        <w:rPr>
          <w:b/>
          <w:bCs/>
          <w:sz w:val="20"/>
          <w:szCs w:val="20"/>
        </w:rPr>
        <w:t xml:space="preserve">Capital One</w:t>
      </w:r>
      <w:r>
        <w:rPr>
          <w:b w:val="false"/>
          <w:bCs w:val="false"/>
          <w:sz w:val="20"/>
          <w:szCs w:val="20"/>
        </w:rPr>
        <w:t xml:space="preserve"> ($1M+/month budgets, tROAS adoption), 4–5% more quotes YoY for </w:t>
      </w:r>
      <w:r>
        <w:rPr>
          <w:b/>
          <w:bCs/>
          <w:sz w:val="20"/>
          <w:szCs w:val="20"/>
        </w:rPr>
        <w:t xml:space="preserve">Intact Insurance</w:t>
      </w:r>
      <w:r>
        <w:rPr>
          <w:b w:val="false"/>
          <w:bCs w:val="false"/>
          <w:sz w:val="20"/>
          <w:szCs w:val="20"/>
        </w:rPr>
        <w:t xml:space="preserve"> (SA360 onboarding, portfolio bidding), and a 35% conversion-rate lift for </w:t>
      </w:r>
      <w:r>
        <w:rPr>
          <w:b/>
          <w:bCs/>
          <w:sz w:val="20"/>
          <w:szCs w:val="20"/>
        </w:rPr>
        <w:t xml:space="preserve">Masterclass</w:t>
      </w:r>
      <w:r>
        <w:rPr>
          <w:b w:val="false"/>
          <w:bCs w:val="false"/>
          <w:sz w:val="20"/>
          <w:szCs w:val="20"/>
        </w:rPr>
        <w:t xml:space="preserve"> (match-type and bidding restructure).</w:t>
      </w:r>
    </w:p>
    <w:p>
      <w:pPr>
        <w:tabs>
          <w:tab w:val="right" w:pos="9026"/>
        </w:tabs>
        <w:spacing w:after="20" w:before="140"/>
      </w:pPr>
      <w:r>
        <w:rPr>
          <w:b/>
          <w:bCs/>
          <w:sz w:val="21"/>
          <w:szCs w:val="21"/>
        </w:rPr>
        <w:t xml:space="preserve">Senior Growth Marketing Consultant</w:t>
      </w:r>
      <w:r>
        <w:rPr>
          <w:color w:val="595959"/>
          <w:sz w:val="19"/>
          <w:szCs w:val="19"/>
        </w:rPr>
        <w:t xml:space="preserve">	12/2020 – 12/2022</w:t>
      </w:r>
    </w:p>
    <w:p>
      <w:pPr>
        <w:spacing w:after="40"/>
      </w:pPr>
      <w:r>
        <w:rPr>
          <w:i/>
          <w:iCs/>
          <w:color w:val="595959"/>
          <w:sz w:val="19"/>
          <w:szCs w:val="19"/>
        </w:rPr>
        <w:t xml:space="preserve">Cardinal Path (Merkle | Dentsu) — Remote, Canada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b/>
          <w:bCs/>
          <w:sz w:val="20"/>
          <w:szCs w:val="20"/>
        </w:rPr>
        <w:t xml:space="preserve">Satmetrix (NICE, B2B SaaS):</w:t>
      </w:r>
      <w:r>
        <w:rPr>
          <w:b w:val="false"/>
          <w:bCs w:val="false"/>
          <w:sz w:val="20"/>
          <w:szCs w:val="20"/>
        </w:rPr>
        <w:t xml:space="preserve"> grew MQLs 10% quarter over quarter through shared-budget portfolio bidding and improved target CPAs across dozens of campaigns.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b/>
          <w:bCs/>
          <w:sz w:val="20"/>
          <w:szCs w:val="20"/>
        </w:rPr>
        <w:t xml:space="preserve">Rocky Mountaineer:</w:t>
      </w:r>
      <w:r>
        <w:rPr>
          <w:b w:val="false"/>
          <w:bCs w:val="false"/>
          <w:sz w:val="20"/>
          <w:szCs w:val="20"/>
        </w:rPr>
        <w:t xml:space="preserve"> migrated branded campaigns from tCPA to tROAS with uncapped budgets, adding $300K/month in incremental revenue while exceeding ROAS targets.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b/>
          <w:bCs/>
          <w:sz w:val="20"/>
          <w:szCs w:val="20"/>
        </w:rPr>
        <w:t xml:space="preserve">Couples Resort:</w:t>
      </w:r>
      <w:r>
        <w:rPr>
          <w:b w:val="false"/>
          <w:bCs w:val="false"/>
          <w:sz w:val="20"/>
          <w:szCs w:val="20"/>
        </w:rPr>
        <w:t xml:space="preserve"> drove 20X ROAS on ~$30K spend across Meta, YouTube, Google, and Bing; SA360 adoption, GA4 revenue tracking, and budget reallocation added $400K in incremental revenue YoY.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b/>
          <w:bCs/>
          <w:sz w:val="20"/>
          <w:szCs w:val="20"/>
        </w:rPr>
        <w:t xml:space="preserve">Intimate apparel brand ($100M+ annual revenue):</w:t>
      </w:r>
      <w:r>
        <w:rPr>
          <w:b w:val="false"/>
          <w:bCs w:val="false"/>
          <w:sz w:val="20"/>
          <w:szCs w:val="20"/>
        </w:rPr>
        <w:t xml:space="preserve"> managed the SA360 program; optimization and budget bid strategies unlocked $450K/month in incremental revenue.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b w:val="false"/>
          <w:bCs w:val="false"/>
          <w:sz w:val="20"/>
          <w:szCs w:val="20"/>
        </w:rPr>
        <w:t xml:space="preserve">Designed end-to-end measurement capabilities aligning business goals to KPIs and attribution for SMB and enterprise brands; managed $50K–$200K/month budgets.</w:t>
      </w:r>
    </w:p>
    <w:p>
      <w:pPr>
        <w:tabs>
          <w:tab w:val="right" w:pos="9026"/>
        </w:tabs>
        <w:spacing w:after="20" w:before="140"/>
      </w:pPr>
      <w:r>
        <w:rPr>
          <w:b/>
          <w:bCs/>
          <w:sz w:val="21"/>
          <w:szCs w:val="21"/>
        </w:rPr>
        <w:t xml:space="preserve">Growth Marketing Consultant</w:t>
      </w:r>
      <w:r>
        <w:rPr>
          <w:color w:val="595959"/>
          <w:sz w:val="19"/>
          <w:szCs w:val="19"/>
        </w:rPr>
        <w:t xml:space="preserve">	04/2017 – 12/2020</w:t>
      </w:r>
    </w:p>
    <w:p>
      <w:pPr>
        <w:spacing w:after="40"/>
      </w:pPr>
      <w:r>
        <w:rPr>
          <w:i/>
          <w:iCs/>
          <w:color w:val="595959"/>
          <w:sz w:val="19"/>
          <w:szCs w:val="19"/>
        </w:rPr>
        <w:t xml:space="preserve">Cardinal Path (Merkle | Dentsu) — Remote, Canada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b w:val="false"/>
          <w:bCs w:val="false"/>
          <w:sz w:val="20"/>
          <w:szCs w:val="20"/>
        </w:rPr>
        <w:t xml:space="preserve">Ran demand generation programs for B2B SaaS clients: SEM, paid social, and AI-powered content optimization tied to pipeline goals.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b/>
          <w:bCs/>
          <w:sz w:val="20"/>
          <w:szCs w:val="20"/>
        </w:rPr>
        <w:t xml:space="preserve">Vicor Power (B2B):</w:t>
      </w:r>
      <w:r>
        <w:rPr>
          <w:b w:val="false"/>
          <w:bCs w:val="false"/>
          <w:sz w:val="20"/>
          <w:szCs w:val="20"/>
        </w:rPr>
        <w:t xml:space="preserve"> cut search CPA by 40% through campaign restructuring and bid strategy optimization.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b/>
          <w:bCs/>
          <w:sz w:val="20"/>
          <w:szCs w:val="20"/>
        </w:rPr>
        <w:t xml:space="preserve">Yankee Candle:</w:t>
      </w:r>
      <w:r>
        <w:rPr>
          <w:b w:val="false"/>
          <w:bCs w:val="false"/>
          <w:sz w:val="20"/>
          <w:szCs w:val="20"/>
        </w:rPr>
        <w:t xml:space="preserve"> deployed $200K in incremental Black Friday budget across Meta and search at a 50X ROAS, generating $10M in additional revenue during the holiday sales period.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b/>
          <w:bCs/>
          <w:sz w:val="20"/>
          <w:szCs w:val="20"/>
        </w:rPr>
        <w:t xml:space="preserve">Kalamazoo:</w:t>
      </w:r>
      <w:r>
        <w:rPr>
          <w:b w:val="false"/>
          <w:bCs w:val="false"/>
          <w:sz w:val="20"/>
          <w:szCs w:val="20"/>
        </w:rPr>
        <w:t xml:space="preserve"> hit a $5 CPA on Meta catalogue downloads at $5K/month, then scaled to $25K/month driving $1.5M+/year in digitally attributed revenue.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b w:val="false"/>
          <w:bCs w:val="false"/>
          <w:sz w:val="20"/>
          <w:szCs w:val="20"/>
        </w:rPr>
        <w:t xml:space="preserve">Developed ICPs and supported inbound marketing through webinars, office hours, and content production and optimization.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b w:val="false"/>
          <w:bCs w:val="false"/>
          <w:sz w:val="20"/>
          <w:szCs w:val="20"/>
        </w:rPr>
        <w:t xml:space="preserve">Consulted for Google's CMO Academy on the Google Marketing Platform; managed $50K–$200K/month budgets across B2B SaaS, tech, education, and e-commerce clients.</w:t>
      </w:r>
    </w:p>
    <w:p>
      <w:pPr>
        <w:tabs>
          <w:tab w:val="right" w:pos="9026"/>
        </w:tabs>
        <w:spacing w:after="20" w:before="140"/>
      </w:pPr>
      <w:r>
        <w:rPr>
          <w:b/>
          <w:bCs/>
          <w:sz w:val="21"/>
          <w:szCs w:val="21"/>
        </w:rPr>
        <w:t xml:space="preserve">Demand Generation Manager</w:t>
      </w:r>
      <w:r>
        <w:rPr>
          <w:color w:val="595959"/>
          <w:sz w:val="19"/>
          <w:szCs w:val="19"/>
        </w:rPr>
        <w:t xml:space="preserve">	06/2016 – 03/2017</w:t>
      </w:r>
    </w:p>
    <w:p>
      <w:pPr>
        <w:spacing w:after="40"/>
      </w:pPr>
      <w:r>
        <w:rPr>
          <w:i/>
          <w:iCs/>
          <w:color w:val="595959"/>
          <w:sz w:val="19"/>
          <w:szCs w:val="19"/>
        </w:rPr>
        <w:t xml:space="preserve">DFO Global Performance Commerce — Canada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b w:val="false"/>
          <w:bCs w:val="false"/>
          <w:sz w:val="20"/>
          <w:szCs w:val="20"/>
        </w:rPr>
        <w:t xml:space="preserve">Designed and executed user acquisition campaigns for B2B SaaS clients to grow MRR and reduce churn.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b/>
          <w:bCs/>
          <w:sz w:val="20"/>
          <w:szCs w:val="20"/>
        </w:rPr>
        <w:t xml:space="preserve">SkipHop</w:t>
      </w:r>
      <w:r>
        <w:rPr>
          <w:b w:val="false"/>
          <w:bCs w:val="false"/>
          <w:sz w:val="20"/>
          <w:szCs w:val="20"/>
        </w:rPr>
        <w:t xml:space="preserve"> (e-commerce brand acquired for $100M): managed paid media across Google, Bing, and Meta; delivered 15X ROAS on Meta shopping, 5X on Google Shopping, and 4X on search — digital drove 15% of total revenue.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b w:val="false"/>
          <w:bCs w:val="false"/>
          <w:sz w:val="20"/>
          <w:szCs w:val="20"/>
        </w:rPr>
        <w:t xml:space="preserve">Delivered executive and board-level reporting aligning media performance to business KPIs.</w:t>
      </w:r>
    </w:p>
    <w:p>
      <w:pPr>
        <w:tabs>
          <w:tab w:val="right" w:pos="9026"/>
        </w:tabs>
        <w:spacing w:after="20" w:before="140"/>
      </w:pPr>
      <w:r>
        <w:rPr>
          <w:b/>
          <w:bCs/>
          <w:sz w:val="21"/>
          <w:szCs w:val="21"/>
        </w:rPr>
        <w:t xml:space="preserve">Digital Account Manager</w:t>
      </w:r>
      <w:r>
        <w:rPr>
          <w:color w:val="595959"/>
          <w:sz w:val="19"/>
          <w:szCs w:val="19"/>
        </w:rPr>
        <w:t xml:space="preserve">	05/2015 – 06/2016</w:t>
      </w:r>
    </w:p>
    <w:p>
      <w:pPr>
        <w:spacing w:after="40"/>
      </w:pPr>
      <w:r>
        <w:rPr>
          <w:i/>
          <w:iCs/>
          <w:color w:val="595959"/>
          <w:sz w:val="19"/>
          <w:szCs w:val="19"/>
        </w:rPr>
        <w:t xml:space="preserve">Pedestal Search — Canada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b w:val="false"/>
          <w:bCs w:val="false"/>
          <w:sz w:val="20"/>
          <w:szCs w:val="20"/>
        </w:rPr>
        <w:t xml:space="preserve">Managed 10+ SEO/SEM accounts and mentored a team of two; ran $10K+/month budgets across Google Ads, Microsoft Ads, Facebook, and LinkedIn with landing page A/B testing and geo-targeted optimization.</w:t>
      </w:r>
    </w:p>
    <w:p>
      <w:pPr>
        <w:tabs>
          <w:tab w:val="right" w:pos="9026"/>
        </w:tabs>
        <w:spacing w:after="20" w:before="140"/>
      </w:pPr>
      <w:r>
        <w:rPr>
          <w:b/>
          <w:bCs/>
          <w:sz w:val="21"/>
          <w:szCs w:val="21"/>
        </w:rPr>
        <w:t xml:space="preserve">Earlier Roles</w:t>
      </w:r>
      <w:r>
        <w:rPr>
          <w:color w:val="595959"/>
          <w:sz w:val="19"/>
          <w:szCs w:val="19"/>
        </w:rPr>
        <w:t xml:space="preserve">	2013 – 2015</w:t>
      </w:r>
    </w:p>
    <w:p>
      <w:pPr>
        <w:spacing w:after="40"/>
      </w:pPr>
      <w:r>
        <w:rPr>
          <w:i/>
          <w:iCs/>
          <w:color w:val="595959"/>
          <w:sz w:val="19"/>
          <w:szCs w:val="19"/>
        </w:rPr>
        <w:t xml:space="preserve">Outreach Media (Digital Account Manager, 2014–2015)  •  Technavio (Inbound Marketing Specialist, 2013–2014)</w:t>
      </w:r>
    </w:p>
    <w:p>
      <w:pPr>
        <w:pBdr>
          <w:bottom w:val="single" w:color="1F4E79" w:sz="6" w:space="2"/>
        </w:pBdr>
        <w:spacing w:after="80" w:before="200"/>
      </w:pPr>
      <w:r>
        <w:rPr>
          <w:rFonts w:ascii="Calibri" w:cs="Calibri" w:eastAsia="Calibri" w:hAnsi="Calibri"/>
          <w:b/>
          <w:bCs/>
          <w:color w:val="1F4E79"/>
          <w:sz w:val="22"/>
          <w:szCs w:val="22"/>
        </w:rPr>
        <w:t xml:space="preserve">SKILLS</w:t>
      </w:r>
    </w:p>
    <w:p>
      <w:pPr>
        <w:spacing w:after="60"/>
      </w:pPr>
      <w:r>
        <w:rPr>
          <w:sz w:val="20"/>
          <w:szCs w:val="20"/>
        </w:rPr>
        <w:t xml:space="preserve">Demand Generation &amp; Pipeline Marketing  •  ABM (6sense, RollWorks, intent data)  •  AI-Native GTM: Clay Enrichment &amp; Workflow Automation  •  SEO / GEO / AEO &amp; AI Brand-Mention Tracking  •  Claude Code (Dashboards &amp; Automated Cross-Channel Reporting)  •  HubSpot  •  ICP Development &amp; Audience Strategy  •  LinkedIn Ads &amp; Paid Social  •  SEM (Google, Microsoft)  •  SA360 / Google Marketing Platform  •  GA4 &amp; Attribution  •  MQL/SQL Funnel Optimization  •  LTV &amp; Portfolio Bidding</w:t>
      </w:r>
    </w:p>
    <w:p>
      <w:pPr>
        <w:pBdr>
          <w:bottom w:val="single" w:color="1F4E79" w:sz="6" w:space="2"/>
        </w:pBdr>
        <w:spacing w:after="80" w:before="200"/>
      </w:pPr>
      <w:r>
        <w:rPr>
          <w:rFonts w:ascii="Calibri" w:cs="Calibri" w:eastAsia="Calibri" w:hAnsi="Calibri"/>
          <w:b/>
          <w:bCs/>
          <w:color w:val="1F4E79"/>
          <w:sz w:val="22"/>
          <w:szCs w:val="22"/>
        </w:rPr>
        <w:t xml:space="preserve">CERTIFICATIONS</w:t>
      </w:r>
    </w:p>
    <w:p>
      <w:pPr>
        <w:spacing w:after="60"/>
      </w:pPr>
      <w:r>
        <w:rPr>
          <w:sz w:val="20"/>
          <w:szCs w:val="20"/>
        </w:rPr>
        <w:t xml:space="preserve">T2D3 B2B SaaS Marketing Certification  •  HubSpot Certifications</w:t>
      </w:r>
    </w:p>
    <w:p>
      <w:pPr>
        <w:pBdr>
          <w:bottom w:val="single" w:color="1F4E79" w:sz="6" w:space="2"/>
        </w:pBdr>
        <w:spacing w:after="80" w:before="200"/>
      </w:pPr>
      <w:r>
        <w:rPr>
          <w:rFonts w:ascii="Calibri" w:cs="Calibri" w:eastAsia="Calibri" w:hAnsi="Calibri"/>
          <w:b/>
          <w:bCs/>
          <w:color w:val="1F4E79"/>
          <w:sz w:val="22"/>
          <w:szCs w:val="22"/>
        </w:rPr>
        <w:t xml:space="preserve">EDUCATION</w:t>
      </w:r>
    </w:p>
    <w:p>
      <w:pPr>
        <w:tabs>
          <w:tab w:val="right" w:pos="9026"/>
        </w:tabs>
        <w:spacing w:after="40" w:before="40"/>
      </w:pPr>
      <w:r>
        <w:rPr>
          <w:sz w:val="20"/>
          <w:szCs w:val="20"/>
        </w:rPr>
        <w:t xml:space="preserve">BSc (Honours), Biological Science, Psychology Minor — University of Guelph</w:t>
      </w:r>
      <w:r>
        <w:rPr>
          <w:color w:val="595959"/>
          <w:sz w:val="19"/>
          <w:szCs w:val="19"/>
        </w:rPr>
        <w:t xml:space="preserve">	Graduated with Distinction</w:t>
      </w:r>
    </w:p>
    <w:p>
      <w:pPr>
        <w:pBdr>
          <w:bottom w:val="single" w:color="1F4E79" w:sz="6" w:space="2"/>
        </w:pBdr>
        <w:spacing w:after="80" w:before="200"/>
      </w:pPr>
      <w:r>
        <w:rPr>
          <w:rFonts w:ascii="Calibri" w:cs="Calibri" w:eastAsia="Calibri" w:hAnsi="Calibri"/>
          <w:b/>
          <w:bCs/>
          <w:color w:val="1F4E79"/>
          <w:sz w:val="22"/>
          <w:szCs w:val="22"/>
        </w:rPr>
        <w:t xml:space="preserve">LANGUAGES</w:t>
      </w:r>
    </w:p>
    <w:p>
      <w:pPr>
        <w:spacing w:after="60"/>
      </w:pPr>
      <w:r>
        <w:rPr>
          <w:sz w:val="20"/>
          <w:szCs w:val="20"/>
        </w:rPr>
        <w:t xml:space="preserve">English, Ukrainian, Russian (native)  •  Spanish (beginner)</w:t>
      </w:r>
    </w:p>
    <w:sectPr>
      <w:pgSz w:w="12240" w:h="15840" w:orient="portrait"/>
      <w:pgMar w:top="800" w:right="1000" w:bottom="8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2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nuhd9g_osxnml4hluhn2u" Type="http://schemas.openxmlformats.org/officeDocument/2006/relationships/hyperlink" Target="https://www.linkedin.com/in/serge-solonenko/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2026-07-09T19:30:13.833Z</dcterms:created>
  <dcterms:modified xsi:type="dcterms:W3CDTF">2026-07-09T19:30:13.833Z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